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FA7F8" w14:textId="5F174EB7" w:rsidR="004B125A" w:rsidRDefault="004B125A" w:rsidP="00FF533A">
      <w:pPr>
        <w:spacing w:after="0" w:line="180" w:lineRule="auto"/>
        <w:jc w:val="both"/>
        <w:rPr>
          <w:rFonts w:ascii="Bliss Pro ExtraBold" w:hAnsi="Bliss Pro ExtraBold" w:cstheme="minorHAnsi"/>
          <w:sz w:val="20"/>
          <w:szCs w:val="20"/>
        </w:rPr>
      </w:pPr>
      <w:bookmarkStart w:id="0" w:name="_Hlk129253529"/>
      <w:r w:rsidRPr="004B125A">
        <w:rPr>
          <w:rFonts w:ascii="Bliss Pro ExtraBold" w:hAnsi="Bliss Pro ExtraBold" w:cstheme="minorHAnsi"/>
          <w:sz w:val="20"/>
          <w:szCs w:val="20"/>
        </w:rPr>
        <w:t xml:space="preserve">ACTIEVOORWAARDEN - GRATIS VERLENGDE GARANTIE BIJ </w:t>
      </w:r>
      <w:r w:rsidR="00FF533A">
        <w:rPr>
          <w:rFonts w:ascii="Bliss Pro ExtraBold" w:hAnsi="Bliss Pro ExtraBold" w:cstheme="minorHAnsi"/>
          <w:sz w:val="20"/>
          <w:szCs w:val="20"/>
        </w:rPr>
        <w:t>TWEEDEHANDS</w:t>
      </w:r>
      <w:r w:rsidRPr="004B125A">
        <w:rPr>
          <w:rFonts w:ascii="Bliss Pro ExtraBold" w:hAnsi="Bliss Pro ExtraBold" w:cstheme="minorHAnsi"/>
          <w:sz w:val="20"/>
          <w:szCs w:val="20"/>
        </w:rPr>
        <w:t xml:space="preserve"> FORD VOERTUIG – VAN MOSSEL VMF BELGIË NV</w:t>
      </w:r>
      <w:r w:rsidR="007724D3">
        <w:rPr>
          <w:rFonts w:ascii="Bliss Pro ExtraBold" w:hAnsi="Bliss Pro ExtraBold" w:cstheme="minorHAnsi"/>
          <w:sz w:val="20"/>
          <w:szCs w:val="20"/>
        </w:rPr>
        <w:t>*</w:t>
      </w:r>
    </w:p>
    <w:p w14:paraId="6E5FB4CF" w14:textId="77777777" w:rsidR="00FF533A" w:rsidRPr="004B125A" w:rsidRDefault="00FF533A" w:rsidP="00FF533A">
      <w:pPr>
        <w:spacing w:after="0" w:line="180" w:lineRule="auto"/>
        <w:jc w:val="both"/>
        <w:rPr>
          <w:rFonts w:ascii="Bliss Pro ExtraBold" w:hAnsi="Bliss Pro ExtraBold" w:cstheme="minorHAnsi"/>
          <w:sz w:val="20"/>
          <w:szCs w:val="20"/>
        </w:rPr>
      </w:pPr>
    </w:p>
    <w:p w14:paraId="1259FCD3" w14:textId="42AD23C1" w:rsidR="004B125A" w:rsidRPr="004B125A" w:rsidRDefault="004B125A" w:rsidP="00FF533A">
      <w:pPr>
        <w:pStyle w:val="Lijstalinea"/>
        <w:numPr>
          <w:ilvl w:val="0"/>
          <w:numId w:val="1"/>
        </w:numPr>
        <w:tabs>
          <w:tab w:val="left" w:pos="142"/>
        </w:tabs>
        <w:ind w:left="0" w:firstLine="0"/>
        <w:rPr>
          <w:rFonts w:ascii="Bliss Pro" w:hAnsi="Bliss Pro" w:cstheme="minorHAnsi"/>
          <w:b/>
          <w:bCs/>
          <w:sz w:val="18"/>
          <w:szCs w:val="18"/>
          <w:lang w:val="nl-BE"/>
        </w:rPr>
      </w:pPr>
      <w:r w:rsidRPr="004B125A">
        <w:rPr>
          <w:rFonts w:ascii="Bliss Pro" w:hAnsi="Bliss Pro" w:cstheme="minorHAnsi"/>
          <w:b/>
          <w:bCs/>
          <w:w w:val="90"/>
          <w:sz w:val="18"/>
          <w:szCs w:val="18"/>
          <w:lang w:val="nl-BE"/>
        </w:rPr>
        <w:t>Inhoud</w:t>
      </w:r>
    </w:p>
    <w:p w14:paraId="1DB2BF42" w14:textId="5A03E77B" w:rsidR="00FF533A" w:rsidRDefault="00FF533A" w:rsidP="00FF533A">
      <w:pPr>
        <w:tabs>
          <w:tab w:val="left" w:pos="142"/>
        </w:tabs>
        <w:spacing w:after="0" w:line="240" w:lineRule="auto"/>
        <w:jc w:val="both"/>
        <w:rPr>
          <w:rFonts w:ascii="Bliss Pro ExtraLight" w:hAnsi="Bliss Pro ExtraLight" w:cstheme="minorHAnsi"/>
          <w:bCs/>
          <w:sz w:val="16"/>
          <w:szCs w:val="16"/>
        </w:rPr>
      </w:pPr>
    </w:p>
    <w:p w14:paraId="62D430C0" w14:textId="1A206804" w:rsidR="00FF533A" w:rsidRDefault="00FF533A" w:rsidP="00FF533A">
      <w:pPr>
        <w:tabs>
          <w:tab w:val="left" w:pos="142"/>
        </w:tabs>
        <w:spacing w:after="0" w:line="240" w:lineRule="auto"/>
        <w:jc w:val="both"/>
        <w:rPr>
          <w:rFonts w:ascii="Bliss Pro ExtraLight" w:hAnsi="Bliss Pro ExtraLight" w:cstheme="minorHAnsi"/>
          <w:bCs/>
          <w:sz w:val="16"/>
          <w:szCs w:val="16"/>
        </w:rPr>
      </w:pPr>
      <w:r>
        <w:rPr>
          <w:rFonts w:ascii="Bliss Pro ExtraLight" w:hAnsi="Bliss Pro ExtraLight" w:cstheme="minorHAnsi"/>
          <w:bCs/>
          <w:sz w:val="16"/>
          <w:szCs w:val="16"/>
        </w:rPr>
        <w:t xml:space="preserve">Bij aankoop van een tweedehands Ford voertuig geniet u standaard van een garantie voor de conforme levering van uw voertuig gedurende een termijn van één jaar, zonder meerprijs. </w:t>
      </w:r>
    </w:p>
    <w:p w14:paraId="4790D282" w14:textId="19E89507" w:rsidR="00FF533A" w:rsidRDefault="00FF533A" w:rsidP="00FF533A">
      <w:pPr>
        <w:tabs>
          <w:tab w:val="left" w:pos="142"/>
        </w:tabs>
        <w:spacing w:after="0" w:line="240" w:lineRule="auto"/>
        <w:jc w:val="both"/>
        <w:rPr>
          <w:rFonts w:ascii="Bliss Pro ExtraLight" w:hAnsi="Bliss Pro ExtraLight" w:cstheme="minorHAnsi"/>
          <w:bCs/>
          <w:sz w:val="16"/>
          <w:szCs w:val="16"/>
        </w:rPr>
      </w:pPr>
    </w:p>
    <w:p w14:paraId="0AA9F22E" w14:textId="68432782" w:rsidR="00FF533A" w:rsidRDefault="00FF533A" w:rsidP="00FF533A">
      <w:pPr>
        <w:tabs>
          <w:tab w:val="left" w:pos="142"/>
        </w:tabs>
        <w:spacing w:after="0" w:line="240" w:lineRule="auto"/>
        <w:jc w:val="both"/>
        <w:rPr>
          <w:rFonts w:ascii="Bliss Pro ExtraLight" w:hAnsi="Bliss Pro ExtraLight" w:cstheme="minorHAnsi"/>
          <w:bCs/>
          <w:sz w:val="16"/>
          <w:szCs w:val="16"/>
        </w:rPr>
      </w:pPr>
      <w:r>
        <w:rPr>
          <w:rFonts w:ascii="Bliss Pro ExtraLight" w:hAnsi="Bliss Pro ExtraLight" w:cstheme="minorHAnsi"/>
          <w:bCs/>
          <w:sz w:val="16"/>
          <w:szCs w:val="16"/>
        </w:rPr>
        <w:t>Indien uw tweedehands Ford voertuig voldoet aan de actievoorwaarden</w:t>
      </w:r>
      <w:r w:rsidR="00AD5B26">
        <w:rPr>
          <w:rFonts w:ascii="Bliss Pro ExtraLight" w:hAnsi="Bliss Pro ExtraLight" w:cstheme="minorHAnsi"/>
          <w:bCs/>
          <w:sz w:val="16"/>
          <w:szCs w:val="16"/>
        </w:rPr>
        <w:t xml:space="preserve"> hieronder</w:t>
      </w:r>
      <w:r>
        <w:rPr>
          <w:rFonts w:ascii="Bliss Pro ExtraLight" w:hAnsi="Bliss Pro ExtraLight" w:cstheme="minorHAnsi"/>
          <w:bCs/>
          <w:sz w:val="16"/>
          <w:szCs w:val="16"/>
        </w:rPr>
        <w:t>, geniet u door middel van huidige actie bovendien kosteloos van een verlenging van de</w:t>
      </w:r>
      <w:r w:rsidR="00AD5B26">
        <w:rPr>
          <w:rFonts w:ascii="Bliss Pro ExtraLight" w:hAnsi="Bliss Pro ExtraLight" w:cstheme="minorHAnsi"/>
          <w:bCs/>
          <w:sz w:val="16"/>
          <w:szCs w:val="16"/>
        </w:rPr>
        <w:t>ze</w:t>
      </w:r>
      <w:r>
        <w:rPr>
          <w:rFonts w:ascii="Bliss Pro ExtraLight" w:hAnsi="Bliss Pro ExtraLight" w:cstheme="minorHAnsi"/>
          <w:bCs/>
          <w:sz w:val="16"/>
          <w:szCs w:val="16"/>
        </w:rPr>
        <w:t xml:space="preserve"> garantie voor conforme levering tot twee of drie jaar. </w:t>
      </w:r>
    </w:p>
    <w:p w14:paraId="257B39F4" w14:textId="1B2806BC" w:rsidR="00FF533A" w:rsidRDefault="00FF533A" w:rsidP="00FF533A">
      <w:pPr>
        <w:tabs>
          <w:tab w:val="left" w:pos="142"/>
        </w:tabs>
        <w:spacing w:after="0" w:line="240" w:lineRule="auto"/>
        <w:jc w:val="both"/>
        <w:rPr>
          <w:rFonts w:ascii="Bliss Pro ExtraLight" w:hAnsi="Bliss Pro ExtraLight" w:cstheme="minorHAnsi"/>
          <w:bCs/>
          <w:sz w:val="16"/>
          <w:szCs w:val="16"/>
        </w:rPr>
      </w:pPr>
    </w:p>
    <w:p w14:paraId="6B425A3E" w14:textId="22DDAF71" w:rsidR="004B125A" w:rsidRPr="004B125A" w:rsidRDefault="00FF533A" w:rsidP="00FF533A">
      <w:pPr>
        <w:tabs>
          <w:tab w:val="left" w:pos="142"/>
        </w:tabs>
        <w:spacing w:after="0" w:line="240" w:lineRule="auto"/>
        <w:jc w:val="both"/>
        <w:rPr>
          <w:rFonts w:ascii="Bliss Pro ExtraLight" w:hAnsi="Bliss Pro ExtraLight" w:cstheme="minorHAnsi"/>
          <w:bCs/>
          <w:sz w:val="16"/>
          <w:szCs w:val="16"/>
        </w:rPr>
      </w:pPr>
      <w:r>
        <w:rPr>
          <w:rFonts w:ascii="Bliss Pro ExtraLight" w:hAnsi="Bliss Pro ExtraLight" w:cstheme="minorHAnsi"/>
          <w:bCs/>
          <w:sz w:val="16"/>
          <w:szCs w:val="16"/>
        </w:rPr>
        <w:t xml:space="preserve">Voor zover er niet in deze actievoorwaarden van wordt afgeweken, wordt de </w:t>
      </w:r>
      <w:r w:rsidR="00AD5B26">
        <w:rPr>
          <w:rFonts w:ascii="Bliss Pro ExtraLight" w:hAnsi="Bliss Pro ExtraLight" w:cstheme="minorHAnsi"/>
          <w:bCs/>
          <w:sz w:val="16"/>
          <w:szCs w:val="16"/>
        </w:rPr>
        <w:t>verlengde</w:t>
      </w:r>
      <w:r>
        <w:rPr>
          <w:rFonts w:ascii="Bliss Pro ExtraLight" w:hAnsi="Bliss Pro ExtraLight" w:cstheme="minorHAnsi"/>
          <w:bCs/>
          <w:sz w:val="16"/>
          <w:szCs w:val="16"/>
        </w:rPr>
        <w:t xml:space="preserve"> garantie beheerst door de </w:t>
      </w:r>
      <w:r w:rsidR="00F04D13">
        <w:rPr>
          <w:rFonts w:ascii="Bliss Pro ExtraLight" w:hAnsi="Bliss Pro ExtraLight" w:cstheme="minorHAnsi"/>
          <w:bCs/>
          <w:sz w:val="16"/>
          <w:szCs w:val="16"/>
        </w:rPr>
        <w:t xml:space="preserve">“Algemene Verkoopsvoorwaarden Tweedehandsvoertuig – Van Mossel Automotive Group”, aangehecht aan uw bestelbon. </w:t>
      </w:r>
      <w:r w:rsidR="00AD5B26">
        <w:rPr>
          <w:rFonts w:ascii="Bliss Pro ExtraLight" w:hAnsi="Bliss Pro ExtraLight" w:cstheme="minorHAnsi"/>
          <w:bCs/>
          <w:sz w:val="16"/>
          <w:szCs w:val="16"/>
        </w:rPr>
        <w:t xml:space="preserve">Deze </w:t>
      </w:r>
      <w:r w:rsidR="004B125A" w:rsidRPr="004B125A">
        <w:rPr>
          <w:rFonts w:ascii="Bliss Pro ExtraLight" w:hAnsi="Bliss Pro ExtraLight" w:cstheme="minorHAnsi"/>
          <w:bCs/>
          <w:sz w:val="16"/>
          <w:szCs w:val="16"/>
        </w:rPr>
        <w:t>actievoorwaarden</w:t>
      </w:r>
      <w:r w:rsidR="00AD5B26">
        <w:rPr>
          <w:rFonts w:ascii="Bliss Pro ExtraLight" w:hAnsi="Bliss Pro ExtraLight" w:cstheme="minorHAnsi"/>
          <w:bCs/>
          <w:sz w:val="16"/>
          <w:szCs w:val="16"/>
        </w:rPr>
        <w:t xml:space="preserve"> doen</w:t>
      </w:r>
      <w:r w:rsidR="004B125A" w:rsidRPr="004B125A">
        <w:rPr>
          <w:rFonts w:ascii="Bliss Pro ExtraLight" w:hAnsi="Bliss Pro ExtraLight" w:cstheme="minorHAnsi"/>
          <w:bCs/>
          <w:sz w:val="16"/>
          <w:szCs w:val="16"/>
        </w:rPr>
        <w:t xml:space="preserve"> </w:t>
      </w:r>
      <w:r w:rsidR="00967422">
        <w:rPr>
          <w:rFonts w:ascii="Bliss Pro ExtraLight" w:hAnsi="Bliss Pro ExtraLight" w:cstheme="minorHAnsi"/>
          <w:bCs/>
          <w:sz w:val="16"/>
          <w:szCs w:val="16"/>
        </w:rPr>
        <w:t xml:space="preserve">bovendien </w:t>
      </w:r>
      <w:r w:rsidR="004B125A" w:rsidRPr="004B125A">
        <w:rPr>
          <w:rFonts w:ascii="Bliss Pro ExtraLight" w:hAnsi="Bliss Pro ExtraLight" w:cstheme="minorHAnsi"/>
          <w:bCs/>
          <w:sz w:val="16"/>
          <w:szCs w:val="16"/>
        </w:rPr>
        <w:t>geen afbreuk aan de wettelijke garantieregels voor verborgen gebreken</w:t>
      </w:r>
      <w:r w:rsidR="00AD5B26">
        <w:rPr>
          <w:rFonts w:ascii="Bliss Pro ExtraLight" w:hAnsi="Bliss Pro ExtraLight" w:cstheme="minorHAnsi"/>
          <w:bCs/>
          <w:sz w:val="16"/>
          <w:szCs w:val="16"/>
        </w:rPr>
        <w:t xml:space="preserve"> zoals opgenomen in diezelfde algemene voorwaarden aangehecht aan uw bestelbon</w:t>
      </w:r>
      <w:r w:rsidR="00EE10CB">
        <w:rPr>
          <w:rFonts w:ascii="Bliss Pro ExtraLight" w:hAnsi="Bliss Pro ExtraLight" w:cstheme="minorHAnsi"/>
          <w:bCs/>
          <w:sz w:val="16"/>
          <w:szCs w:val="16"/>
        </w:rPr>
        <w:t>, noch de eventueel van toepassing zijnde “</w:t>
      </w:r>
      <w:r w:rsidR="00EE10CB" w:rsidRPr="00EE10CB">
        <w:rPr>
          <w:rFonts w:ascii="Bliss Pro ExtraLight" w:hAnsi="Bliss Pro ExtraLight" w:cstheme="minorHAnsi"/>
          <w:bCs/>
          <w:i/>
          <w:iCs/>
          <w:sz w:val="16"/>
          <w:szCs w:val="16"/>
        </w:rPr>
        <w:t xml:space="preserve">Ford </w:t>
      </w:r>
      <w:proofErr w:type="spellStart"/>
      <w:r w:rsidR="00EE10CB" w:rsidRPr="00EE10CB">
        <w:rPr>
          <w:rFonts w:ascii="Bliss Pro ExtraLight" w:hAnsi="Bliss Pro ExtraLight" w:cstheme="minorHAnsi"/>
          <w:bCs/>
          <w:i/>
          <w:iCs/>
          <w:sz w:val="16"/>
          <w:szCs w:val="16"/>
        </w:rPr>
        <w:t>Approved</w:t>
      </w:r>
      <w:proofErr w:type="spellEnd"/>
      <w:r w:rsidR="00EE10CB">
        <w:rPr>
          <w:rFonts w:ascii="Bliss Pro ExtraLight" w:hAnsi="Bliss Pro ExtraLight" w:cstheme="minorHAnsi"/>
          <w:bCs/>
          <w:sz w:val="16"/>
          <w:szCs w:val="16"/>
        </w:rPr>
        <w:t xml:space="preserve">”-garantie aangeboden door Ford op een specifieke selectie van voertuigen. </w:t>
      </w:r>
    </w:p>
    <w:p w14:paraId="6B8CEEA3" w14:textId="77777777" w:rsidR="004B125A" w:rsidRPr="004B125A" w:rsidRDefault="004B125A" w:rsidP="00FF533A">
      <w:pPr>
        <w:tabs>
          <w:tab w:val="left" w:pos="142"/>
        </w:tabs>
        <w:spacing w:after="0" w:line="240" w:lineRule="auto"/>
        <w:jc w:val="both"/>
        <w:rPr>
          <w:rFonts w:ascii="Bliss Pro" w:hAnsi="Bliss Pro" w:cstheme="minorHAnsi"/>
          <w:bCs/>
          <w:sz w:val="16"/>
          <w:szCs w:val="16"/>
        </w:rPr>
      </w:pPr>
    </w:p>
    <w:p w14:paraId="18ABD5A2" w14:textId="7646AF9A" w:rsidR="004B125A" w:rsidRPr="00FF533A" w:rsidRDefault="004B125A" w:rsidP="00FF533A">
      <w:pPr>
        <w:pStyle w:val="Lijstalinea"/>
        <w:numPr>
          <w:ilvl w:val="0"/>
          <w:numId w:val="1"/>
        </w:numPr>
        <w:tabs>
          <w:tab w:val="left" w:pos="142"/>
        </w:tabs>
        <w:ind w:left="0" w:firstLine="0"/>
        <w:rPr>
          <w:rFonts w:ascii="Bliss Pro" w:hAnsi="Bliss Pro" w:cstheme="minorHAnsi"/>
          <w:b/>
          <w:bCs/>
          <w:w w:val="90"/>
          <w:sz w:val="18"/>
          <w:szCs w:val="18"/>
          <w:lang w:val="nl-BE"/>
        </w:rPr>
      </w:pPr>
      <w:r w:rsidRPr="00FF533A">
        <w:rPr>
          <w:rFonts w:ascii="Bliss Pro" w:hAnsi="Bliss Pro" w:cstheme="minorHAnsi"/>
          <w:b/>
          <w:bCs/>
          <w:w w:val="90"/>
          <w:sz w:val="18"/>
          <w:szCs w:val="18"/>
          <w:lang w:val="nl-BE"/>
        </w:rPr>
        <w:t>Specifieke voorwaarden actie</w:t>
      </w:r>
    </w:p>
    <w:p w14:paraId="10CBA98C" w14:textId="77777777" w:rsidR="004B125A" w:rsidRPr="004B125A" w:rsidRDefault="004B125A" w:rsidP="00FF533A">
      <w:pPr>
        <w:pStyle w:val="Lijstalinea"/>
        <w:tabs>
          <w:tab w:val="left" w:pos="142"/>
        </w:tabs>
        <w:ind w:left="0" w:firstLine="0"/>
        <w:rPr>
          <w:rFonts w:ascii="Bliss Pro ExtraLight" w:hAnsi="Bliss Pro ExtraLight" w:cstheme="minorHAnsi"/>
          <w:b/>
          <w:bCs/>
          <w:sz w:val="18"/>
          <w:szCs w:val="18"/>
          <w:lang w:val="nl-BE"/>
        </w:rPr>
      </w:pPr>
    </w:p>
    <w:p w14:paraId="3A79A232" w14:textId="2736D2E1" w:rsidR="00F04D13" w:rsidRDefault="00F04D13" w:rsidP="00FF533A">
      <w:pPr>
        <w:tabs>
          <w:tab w:val="left" w:pos="142"/>
        </w:tabs>
        <w:spacing w:after="0" w:line="240" w:lineRule="auto"/>
        <w:jc w:val="both"/>
        <w:rPr>
          <w:rFonts w:ascii="Bliss Pro ExtraLight" w:hAnsi="Bliss Pro ExtraLight" w:cstheme="minorHAnsi"/>
          <w:bCs/>
          <w:sz w:val="16"/>
          <w:szCs w:val="16"/>
        </w:rPr>
      </w:pPr>
      <w:r>
        <w:rPr>
          <w:rFonts w:ascii="Bliss Pro ExtraLight" w:hAnsi="Bliss Pro ExtraLight" w:cstheme="minorHAnsi"/>
          <w:bCs/>
          <w:sz w:val="16"/>
          <w:szCs w:val="16"/>
        </w:rPr>
        <w:t xml:space="preserve">De actie is enkel geldig voor tweedehandsvoertuigen van het merk Ford </w:t>
      </w:r>
      <w:r w:rsidR="00713E79">
        <w:rPr>
          <w:rFonts w:ascii="Bliss Pro ExtraLight" w:hAnsi="Bliss Pro ExtraLight" w:cstheme="minorHAnsi"/>
          <w:bCs/>
          <w:sz w:val="16"/>
          <w:szCs w:val="16"/>
        </w:rPr>
        <w:t>waarvoor de bestelbon</w:t>
      </w:r>
      <w:r>
        <w:rPr>
          <w:rFonts w:ascii="Bliss Pro ExtraLight" w:hAnsi="Bliss Pro ExtraLight" w:cstheme="minorHAnsi"/>
          <w:bCs/>
          <w:sz w:val="16"/>
          <w:szCs w:val="16"/>
        </w:rPr>
        <w:t xml:space="preserve"> bij de officiële Ford-dealers binnen de Van Mossel groep</w:t>
      </w:r>
      <w:r w:rsidR="00713E79">
        <w:rPr>
          <w:rFonts w:ascii="Bliss Pro ExtraLight" w:hAnsi="Bliss Pro ExtraLight" w:cstheme="minorHAnsi"/>
          <w:bCs/>
          <w:sz w:val="16"/>
          <w:szCs w:val="16"/>
        </w:rPr>
        <w:t xml:space="preserve"> wordt getekend vanaf </w:t>
      </w:r>
      <w:r w:rsidR="00160252">
        <w:rPr>
          <w:rFonts w:ascii="Bliss Pro ExtraLight" w:hAnsi="Bliss Pro ExtraLight" w:cstheme="minorHAnsi"/>
          <w:bCs/>
          <w:sz w:val="16"/>
          <w:szCs w:val="16"/>
        </w:rPr>
        <w:t>4</w:t>
      </w:r>
      <w:r w:rsidR="00713E79">
        <w:rPr>
          <w:rFonts w:ascii="Bliss Pro ExtraLight" w:hAnsi="Bliss Pro ExtraLight" w:cstheme="minorHAnsi"/>
          <w:bCs/>
          <w:sz w:val="16"/>
          <w:szCs w:val="16"/>
        </w:rPr>
        <w:t xml:space="preserve"> </w:t>
      </w:r>
      <w:r w:rsidR="00160252">
        <w:rPr>
          <w:rFonts w:ascii="Bliss Pro ExtraLight" w:hAnsi="Bliss Pro ExtraLight" w:cstheme="minorHAnsi"/>
          <w:bCs/>
          <w:sz w:val="16"/>
          <w:szCs w:val="16"/>
        </w:rPr>
        <w:t>maart</w:t>
      </w:r>
      <w:r w:rsidR="00713E79">
        <w:rPr>
          <w:rFonts w:ascii="Bliss Pro ExtraLight" w:hAnsi="Bliss Pro ExtraLight" w:cstheme="minorHAnsi"/>
          <w:bCs/>
          <w:sz w:val="16"/>
          <w:szCs w:val="16"/>
        </w:rPr>
        <w:t xml:space="preserve"> 202</w:t>
      </w:r>
      <w:r w:rsidR="00160252">
        <w:rPr>
          <w:rFonts w:ascii="Bliss Pro ExtraLight" w:hAnsi="Bliss Pro ExtraLight" w:cstheme="minorHAnsi"/>
          <w:bCs/>
          <w:sz w:val="16"/>
          <w:szCs w:val="16"/>
        </w:rPr>
        <w:t>4</w:t>
      </w:r>
      <w:r w:rsidR="00713E79">
        <w:rPr>
          <w:rFonts w:ascii="Bliss Pro ExtraLight" w:hAnsi="Bliss Pro ExtraLight" w:cstheme="minorHAnsi"/>
          <w:bCs/>
          <w:sz w:val="16"/>
          <w:szCs w:val="16"/>
        </w:rPr>
        <w:t xml:space="preserve"> tot en met 3</w:t>
      </w:r>
      <w:r w:rsidR="00160252">
        <w:rPr>
          <w:rFonts w:ascii="Bliss Pro ExtraLight" w:hAnsi="Bliss Pro ExtraLight" w:cstheme="minorHAnsi"/>
          <w:bCs/>
          <w:sz w:val="16"/>
          <w:szCs w:val="16"/>
        </w:rPr>
        <w:t>1</w:t>
      </w:r>
      <w:r w:rsidR="00713E79">
        <w:rPr>
          <w:rFonts w:ascii="Bliss Pro ExtraLight" w:hAnsi="Bliss Pro ExtraLight" w:cstheme="minorHAnsi"/>
          <w:bCs/>
          <w:sz w:val="16"/>
          <w:szCs w:val="16"/>
        </w:rPr>
        <w:t xml:space="preserve"> </w:t>
      </w:r>
      <w:r w:rsidR="00160252">
        <w:rPr>
          <w:rFonts w:ascii="Bliss Pro ExtraLight" w:hAnsi="Bliss Pro ExtraLight" w:cstheme="minorHAnsi"/>
          <w:bCs/>
          <w:sz w:val="16"/>
          <w:szCs w:val="16"/>
        </w:rPr>
        <w:t>maart</w:t>
      </w:r>
      <w:r w:rsidR="00713E79">
        <w:rPr>
          <w:rFonts w:ascii="Bliss Pro ExtraLight" w:hAnsi="Bliss Pro ExtraLight" w:cstheme="minorHAnsi"/>
          <w:bCs/>
          <w:sz w:val="16"/>
          <w:szCs w:val="16"/>
        </w:rPr>
        <w:t xml:space="preserve"> 202</w:t>
      </w:r>
      <w:r w:rsidR="00160252">
        <w:rPr>
          <w:rFonts w:ascii="Bliss Pro ExtraLight" w:hAnsi="Bliss Pro ExtraLight" w:cstheme="minorHAnsi"/>
          <w:bCs/>
          <w:sz w:val="16"/>
          <w:szCs w:val="16"/>
        </w:rPr>
        <w:t>4</w:t>
      </w:r>
      <w:r>
        <w:rPr>
          <w:rFonts w:ascii="Bliss Pro ExtraLight" w:hAnsi="Bliss Pro ExtraLight" w:cstheme="minorHAnsi"/>
          <w:bCs/>
          <w:sz w:val="16"/>
          <w:szCs w:val="16"/>
        </w:rPr>
        <w:t xml:space="preserve">. </w:t>
      </w:r>
    </w:p>
    <w:p w14:paraId="75CF180D" w14:textId="24DAA190" w:rsidR="00F04D13" w:rsidRDefault="00F04D13" w:rsidP="00FF533A">
      <w:pPr>
        <w:tabs>
          <w:tab w:val="left" w:pos="142"/>
        </w:tabs>
        <w:spacing w:after="0" w:line="240" w:lineRule="auto"/>
        <w:jc w:val="both"/>
        <w:rPr>
          <w:rFonts w:ascii="Bliss Pro ExtraLight" w:hAnsi="Bliss Pro ExtraLight" w:cstheme="minorHAnsi"/>
          <w:bCs/>
          <w:sz w:val="16"/>
          <w:szCs w:val="16"/>
        </w:rPr>
      </w:pPr>
    </w:p>
    <w:p w14:paraId="655E84E6" w14:textId="77777777" w:rsidR="00AD5B26" w:rsidRDefault="00F04D13" w:rsidP="00FF533A">
      <w:pPr>
        <w:tabs>
          <w:tab w:val="left" w:pos="142"/>
        </w:tabs>
        <w:spacing w:after="0" w:line="240" w:lineRule="auto"/>
        <w:jc w:val="both"/>
        <w:rPr>
          <w:rFonts w:ascii="Bliss Pro ExtraLight" w:hAnsi="Bliss Pro ExtraLight" w:cstheme="minorHAnsi"/>
          <w:bCs/>
          <w:sz w:val="16"/>
          <w:szCs w:val="16"/>
        </w:rPr>
      </w:pPr>
      <w:r>
        <w:rPr>
          <w:rFonts w:ascii="Bliss Pro ExtraLight" w:hAnsi="Bliss Pro ExtraLight" w:cstheme="minorHAnsi"/>
          <w:bCs/>
          <w:sz w:val="16"/>
          <w:szCs w:val="16"/>
        </w:rPr>
        <w:t>Een voertuig wordt als tweedehands beschouwd</w:t>
      </w:r>
      <w:r w:rsidR="00713E79">
        <w:rPr>
          <w:rFonts w:ascii="Bliss Pro ExtraLight" w:hAnsi="Bliss Pro ExtraLight" w:cstheme="minorHAnsi"/>
          <w:bCs/>
          <w:sz w:val="16"/>
          <w:szCs w:val="16"/>
        </w:rPr>
        <w:t xml:space="preserve"> als het op het moment van uw aankoop</w:t>
      </w:r>
      <w:r w:rsidR="00AD5B26">
        <w:rPr>
          <w:rFonts w:ascii="Bliss Pro ExtraLight" w:hAnsi="Bliss Pro ExtraLight" w:cstheme="minorHAnsi"/>
          <w:bCs/>
          <w:sz w:val="16"/>
          <w:szCs w:val="16"/>
        </w:rPr>
        <w:t>:</w:t>
      </w:r>
      <w:r>
        <w:rPr>
          <w:rFonts w:ascii="Bliss Pro ExtraLight" w:hAnsi="Bliss Pro ExtraLight" w:cstheme="minorHAnsi"/>
          <w:bCs/>
          <w:sz w:val="16"/>
          <w:szCs w:val="16"/>
        </w:rPr>
        <w:t xml:space="preserve"> </w:t>
      </w:r>
    </w:p>
    <w:p w14:paraId="3AB30B8C" w14:textId="77777777" w:rsidR="00AD5B26" w:rsidRPr="00160252" w:rsidRDefault="00713E79" w:rsidP="00AD5B26">
      <w:pPr>
        <w:pStyle w:val="Lijstalinea"/>
        <w:numPr>
          <w:ilvl w:val="0"/>
          <w:numId w:val="3"/>
        </w:numPr>
        <w:tabs>
          <w:tab w:val="left" w:pos="142"/>
        </w:tabs>
        <w:rPr>
          <w:rFonts w:ascii="Bliss Pro ExtraLight" w:hAnsi="Bliss Pro ExtraLight" w:cstheme="minorHAnsi"/>
          <w:bCs/>
          <w:sz w:val="16"/>
          <w:szCs w:val="16"/>
          <w:lang w:val="nl-BE"/>
        </w:rPr>
      </w:pPr>
      <w:r w:rsidRPr="00160252">
        <w:rPr>
          <w:rFonts w:ascii="Bliss Pro ExtraLight" w:hAnsi="Bliss Pro ExtraLight" w:cstheme="minorHAnsi"/>
          <w:bCs/>
          <w:sz w:val="16"/>
          <w:szCs w:val="16"/>
          <w:lang w:val="nl-BE"/>
        </w:rPr>
        <w:t>reeds</w:t>
      </w:r>
      <w:r w:rsidR="00F04D13" w:rsidRPr="00160252">
        <w:rPr>
          <w:rFonts w:ascii="Bliss Pro ExtraLight" w:hAnsi="Bliss Pro ExtraLight" w:cstheme="minorHAnsi"/>
          <w:bCs/>
          <w:sz w:val="16"/>
          <w:szCs w:val="16"/>
          <w:lang w:val="nl-BE"/>
        </w:rPr>
        <w:t xml:space="preserve"> meer dan 6 maanden </w:t>
      </w:r>
      <w:r w:rsidRPr="00160252">
        <w:rPr>
          <w:rFonts w:ascii="Bliss Pro ExtraLight" w:hAnsi="Bliss Pro ExtraLight" w:cstheme="minorHAnsi"/>
          <w:bCs/>
          <w:sz w:val="16"/>
          <w:szCs w:val="16"/>
          <w:lang w:val="nl-BE"/>
        </w:rPr>
        <w:t>in gebruik was</w:t>
      </w:r>
      <w:r w:rsidR="00AD5B26" w:rsidRPr="00160252">
        <w:rPr>
          <w:rFonts w:ascii="Bliss Pro ExtraLight" w:hAnsi="Bliss Pro ExtraLight" w:cstheme="minorHAnsi"/>
          <w:bCs/>
          <w:sz w:val="16"/>
          <w:szCs w:val="16"/>
          <w:lang w:val="nl-BE"/>
        </w:rPr>
        <w:t>;</w:t>
      </w:r>
      <w:r w:rsidR="00F04D13" w:rsidRPr="00160252">
        <w:rPr>
          <w:rFonts w:ascii="Bliss Pro ExtraLight" w:hAnsi="Bliss Pro ExtraLight" w:cstheme="minorHAnsi"/>
          <w:bCs/>
          <w:sz w:val="16"/>
          <w:szCs w:val="16"/>
          <w:lang w:val="nl-BE"/>
        </w:rPr>
        <w:t xml:space="preserve"> OF </w:t>
      </w:r>
    </w:p>
    <w:p w14:paraId="7274C815" w14:textId="491817CA" w:rsidR="00F04D13" w:rsidRPr="00160252" w:rsidRDefault="00AD5B26" w:rsidP="00AD5B26">
      <w:pPr>
        <w:pStyle w:val="Lijstalinea"/>
        <w:numPr>
          <w:ilvl w:val="0"/>
          <w:numId w:val="3"/>
        </w:numPr>
        <w:tabs>
          <w:tab w:val="left" w:pos="142"/>
        </w:tabs>
        <w:rPr>
          <w:rFonts w:ascii="Bliss Pro ExtraLight" w:hAnsi="Bliss Pro ExtraLight" w:cstheme="minorHAnsi"/>
          <w:bCs/>
          <w:sz w:val="16"/>
          <w:szCs w:val="16"/>
          <w:lang w:val="nl-BE"/>
        </w:rPr>
      </w:pPr>
      <w:r w:rsidRPr="00160252">
        <w:rPr>
          <w:rFonts w:ascii="Bliss Pro ExtraLight" w:hAnsi="Bliss Pro ExtraLight" w:cstheme="minorHAnsi"/>
          <w:bCs/>
          <w:sz w:val="16"/>
          <w:szCs w:val="16"/>
          <w:lang w:val="nl-BE"/>
        </w:rPr>
        <w:t>m</w:t>
      </w:r>
      <w:r w:rsidR="00713E79" w:rsidRPr="00160252">
        <w:rPr>
          <w:rFonts w:ascii="Bliss Pro ExtraLight" w:hAnsi="Bliss Pro ExtraLight" w:cstheme="minorHAnsi"/>
          <w:bCs/>
          <w:sz w:val="16"/>
          <w:szCs w:val="16"/>
          <w:lang w:val="nl-BE"/>
        </w:rPr>
        <w:t>eer dan</w:t>
      </w:r>
      <w:r w:rsidR="00F04D13" w:rsidRPr="00160252">
        <w:rPr>
          <w:rFonts w:ascii="Bliss Pro ExtraLight" w:hAnsi="Bliss Pro ExtraLight" w:cstheme="minorHAnsi"/>
          <w:bCs/>
          <w:sz w:val="16"/>
          <w:szCs w:val="16"/>
          <w:lang w:val="nl-BE"/>
        </w:rPr>
        <w:t xml:space="preserve"> 6.000km op de teller heeft staan. </w:t>
      </w:r>
    </w:p>
    <w:p w14:paraId="676A5128" w14:textId="74B84884" w:rsidR="00713E79" w:rsidRDefault="00713E79" w:rsidP="00FF533A">
      <w:pPr>
        <w:tabs>
          <w:tab w:val="left" w:pos="142"/>
        </w:tabs>
        <w:spacing w:after="0" w:line="240" w:lineRule="auto"/>
        <w:jc w:val="both"/>
        <w:rPr>
          <w:rFonts w:ascii="Bliss Pro ExtraLight" w:hAnsi="Bliss Pro ExtraLight" w:cstheme="minorHAnsi"/>
          <w:bCs/>
          <w:sz w:val="16"/>
          <w:szCs w:val="16"/>
        </w:rPr>
      </w:pPr>
    </w:p>
    <w:tbl>
      <w:tblPr>
        <w:tblStyle w:val="Tabelraster"/>
        <w:tblW w:w="0" w:type="auto"/>
        <w:tblLook w:val="04A0" w:firstRow="1" w:lastRow="0" w:firstColumn="1" w:lastColumn="0" w:noHBand="0" w:noVBand="1"/>
      </w:tblPr>
      <w:tblGrid>
        <w:gridCol w:w="4531"/>
        <w:gridCol w:w="4531"/>
      </w:tblGrid>
      <w:tr w:rsidR="00713E79" w14:paraId="043BEFD5" w14:textId="77777777" w:rsidTr="00713E79">
        <w:tc>
          <w:tcPr>
            <w:tcW w:w="4531" w:type="dxa"/>
            <w:shd w:val="clear" w:color="auto" w:fill="2F5496" w:themeFill="accent1" w:themeFillShade="BF"/>
          </w:tcPr>
          <w:p w14:paraId="5B16965C" w14:textId="1E05159B" w:rsidR="00713E79" w:rsidRPr="00713E79" w:rsidRDefault="00713E79" w:rsidP="00FF533A">
            <w:pPr>
              <w:tabs>
                <w:tab w:val="left" w:pos="142"/>
              </w:tabs>
              <w:jc w:val="both"/>
              <w:rPr>
                <w:rFonts w:ascii="Bliss Pro ExtraLight" w:hAnsi="Bliss Pro ExtraLight" w:cstheme="minorHAnsi"/>
                <w:b/>
                <w:color w:val="FFFFFF" w:themeColor="background1"/>
                <w:sz w:val="16"/>
                <w:szCs w:val="16"/>
              </w:rPr>
            </w:pPr>
            <w:r w:rsidRPr="00713E79">
              <w:rPr>
                <w:rFonts w:ascii="Bliss Pro ExtraLight" w:hAnsi="Bliss Pro ExtraLight" w:cstheme="minorHAnsi"/>
                <w:b/>
                <w:color w:val="FFFFFF" w:themeColor="background1"/>
                <w:sz w:val="16"/>
                <w:szCs w:val="16"/>
              </w:rPr>
              <w:t xml:space="preserve">Voertuig: </w:t>
            </w:r>
          </w:p>
        </w:tc>
        <w:tc>
          <w:tcPr>
            <w:tcW w:w="4531" w:type="dxa"/>
            <w:shd w:val="clear" w:color="auto" w:fill="2F5496" w:themeFill="accent1" w:themeFillShade="BF"/>
          </w:tcPr>
          <w:p w14:paraId="0C932696" w14:textId="20CD448B" w:rsidR="00713E79" w:rsidRPr="00713E79" w:rsidRDefault="00713E79" w:rsidP="00FF533A">
            <w:pPr>
              <w:tabs>
                <w:tab w:val="left" w:pos="142"/>
              </w:tabs>
              <w:jc w:val="both"/>
              <w:rPr>
                <w:rFonts w:ascii="Bliss Pro ExtraLight" w:hAnsi="Bliss Pro ExtraLight" w:cstheme="minorHAnsi"/>
                <w:b/>
                <w:color w:val="FFFFFF" w:themeColor="background1"/>
                <w:sz w:val="16"/>
                <w:szCs w:val="16"/>
              </w:rPr>
            </w:pPr>
            <w:r>
              <w:rPr>
                <w:rFonts w:ascii="Bliss Pro ExtraLight" w:hAnsi="Bliss Pro ExtraLight" w:cstheme="minorHAnsi"/>
                <w:b/>
                <w:color w:val="FFFFFF" w:themeColor="background1"/>
                <w:sz w:val="16"/>
                <w:szCs w:val="16"/>
              </w:rPr>
              <w:t>Termijn</w:t>
            </w:r>
            <w:r w:rsidRPr="00713E79">
              <w:rPr>
                <w:rFonts w:ascii="Bliss Pro ExtraLight" w:hAnsi="Bliss Pro ExtraLight" w:cstheme="minorHAnsi"/>
                <w:b/>
                <w:color w:val="FFFFFF" w:themeColor="background1"/>
                <w:sz w:val="16"/>
                <w:szCs w:val="16"/>
              </w:rPr>
              <w:t xml:space="preserve"> garantie voor conforme levering</w:t>
            </w:r>
          </w:p>
        </w:tc>
      </w:tr>
      <w:tr w:rsidR="00713E79" w14:paraId="7F502698" w14:textId="77777777" w:rsidTr="00713E79">
        <w:tc>
          <w:tcPr>
            <w:tcW w:w="4531" w:type="dxa"/>
          </w:tcPr>
          <w:p w14:paraId="0A6C7FB8" w14:textId="5AFB1CFA" w:rsidR="00713E79" w:rsidRDefault="00160252" w:rsidP="00FF533A">
            <w:pPr>
              <w:tabs>
                <w:tab w:val="left" w:pos="142"/>
              </w:tabs>
              <w:jc w:val="both"/>
              <w:rPr>
                <w:rFonts w:ascii="Bliss Pro ExtraLight" w:hAnsi="Bliss Pro ExtraLight" w:cstheme="minorHAnsi"/>
                <w:bCs/>
                <w:sz w:val="16"/>
                <w:szCs w:val="16"/>
              </w:rPr>
            </w:pPr>
            <w:r>
              <w:rPr>
                <w:rFonts w:ascii="Bliss Pro ExtraLight" w:hAnsi="Bliss Pro ExtraLight" w:cstheme="minorHAnsi"/>
                <w:bCs/>
                <w:sz w:val="16"/>
                <w:szCs w:val="16"/>
              </w:rPr>
              <w:t>Heeft 2 jaar garantie</w:t>
            </w:r>
          </w:p>
        </w:tc>
        <w:tc>
          <w:tcPr>
            <w:tcW w:w="4531" w:type="dxa"/>
          </w:tcPr>
          <w:p w14:paraId="7F6C784D" w14:textId="2E134F2F" w:rsidR="00713E79" w:rsidRDefault="008519D2" w:rsidP="00FF533A">
            <w:pPr>
              <w:tabs>
                <w:tab w:val="left" w:pos="142"/>
              </w:tabs>
              <w:jc w:val="both"/>
              <w:rPr>
                <w:rFonts w:ascii="Bliss Pro ExtraLight" w:hAnsi="Bliss Pro ExtraLight" w:cstheme="minorHAnsi"/>
                <w:bCs/>
                <w:sz w:val="16"/>
                <w:szCs w:val="16"/>
              </w:rPr>
            </w:pPr>
            <w:r>
              <w:rPr>
                <w:rFonts w:ascii="Bliss Pro ExtraLight" w:hAnsi="Bliss Pro ExtraLight" w:cstheme="minorHAnsi"/>
                <w:bCs/>
                <w:sz w:val="16"/>
                <w:szCs w:val="16"/>
              </w:rPr>
              <w:t>Verlenging</w:t>
            </w:r>
            <w:r w:rsidR="00AD5B26">
              <w:rPr>
                <w:rFonts w:ascii="Bliss Pro ExtraLight" w:hAnsi="Bliss Pro ExtraLight" w:cstheme="minorHAnsi"/>
                <w:bCs/>
                <w:sz w:val="16"/>
                <w:szCs w:val="16"/>
              </w:rPr>
              <w:t xml:space="preserve"> met </w:t>
            </w:r>
            <w:r w:rsidR="00160252">
              <w:rPr>
                <w:rFonts w:ascii="Bliss Pro ExtraLight" w:hAnsi="Bliss Pro ExtraLight" w:cstheme="minorHAnsi"/>
                <w:bCs/>
                <w:sz w:val="16"/>
                <w:szCs w:val="16"/>
              </w:rPr>
              <w:t>1</w:t>
            </w:r>
            <w:r w:rsidR="00AD5B26">
              <w:rPr>
                <w:rFonts w:ascii="Bliss Pro ExtraLight" w:hAnsi="Bliss Pro ExtraLight" w:cstheme="minorHAnsi"/>
                <w:bCs/>
                <w:sz w:val="16"/>
                <w:szCs w:val="16"/>
              </w:rPr>
              <w:t xml:space="preserve"> jaar</w:t>
            </w:r>
            <w:r>
              <w:rPr>
                <w:rFonts w:ascii="Bliss Pro ExtraLight" w:hAnsi="Bliss Pro ExtraLight" w:cstheme="minorHAnsi"/>
                <w:bCs/>
                <w:sz w:val="16"/>
                <w:szCs w:val="16"/>
              </w:rPr>
              <w:t xml:space="preserve">, tot </w:t>
            </w:r>
            <w:r w:rsidR="00AD5B26">
              <w:rPr>
                <w:rFonts w:ascii="Bliss Pro ExtraLight" w:hAnsi="Bliss Pro ExtraLight" w:cstheme="minorHAnsi"/>
                <w:bCs/>
                <w:sz w:val="16"/>
                <w:szCs w:val="16"/>
              </w:rPr>
              <w:t xml:space="preserve">een totaal van </w:t>
            </w:r>
            <w:r w:rsidR="00713E79">
              <w:rPr>
                <w:rFonts w:ascii="Bliss Pro ExtraLight" w:hAnsi="Bliss Pro ExtraLight" w:cstheme="minorHAnsi"/>
                <w:bCs/>
                <w:sz w:val="16"/>
                <w:szCs w:val="16"/>
              </w:rPr>
              <w:t xml:space="preserve">3 jaar </w:t>
            </w:r>
          </w:p>
        </w:tc>
      </w:tr>
      <w:tr w:rsidR="00713E79" w14:paraId="53AE3E18" w14:textId="77777777" w:rsidTr="00713E79">
        <w:tc>
          <w:tcPr>
            <w:tcW w:w="4531" w:type="dxa"/>
          </w:tcPr>
          <w:p w14:paraId="40E5828A" w14:textId="68C3E761" w:rsidR="00713E79" w:rsidRDefault="00160252" w:rsidP="00FF533A">
            <w:pPr>
              <w:tabs>
                <w:tab w:val="left" w:pos="142"/>
              </w:tabs>
              <w:jc w:val="both"/>
              <w:rPr>
                <w:rFonts w:ascii="Bliss Pro ExtraLight" w:hAnsi="Bliss Pro ExtraLight" w:cstheme="minorHAnsi"/>
                <w:bCs/>
                <w:sz w:val="16"/>
                <w:szCs w:val="16"/>
              </w:rPr>
            </w:pPr>
            <w:r>
              <w:rPr>
                <w:rFonts w:ascii="Bliss Pro ExtraLight" w:hAnsi="Bliss Pro ExtraLight" w:cstheme="minorHAnsi"/>
                <w:bCs/>
                <w:sz w:val="16"/>
                <w:szCs w:val="16"/>
              </w:rPr>
              <w:t>Heeft 1 jaar garantie</w:t>
            </w:r>
          </w:p>
        </w:tc>
        <w:tc>
          <w:tcPr>
            <w:tcW w:w="4531" w:type="dxa"/>
          </w:tcPr>
          <w:p w14:paraId="3FCDC292" w14:textId="3446F132" w:rsidR="00713E79" w:rsidRDefault="008519D2" w:rsidP="00FF533A">
            <w:pPr>
              <w:tabs>
                <w:tab w:val="left" w:pos="142"/>
              </w:tabs>
              <w:jc w:val="both"/>
              <w:rPr>
                <w:rFonts w:ascii="Bliss Pro ExtraLight" w:hAnsi="Bliss Pro ExtraLight" w:cstheme="minorHAnsi"/>
                <w:bCs/>
                <w:sz w:val="16"/>
                <w:szCs w:val="16"/>
              </w:rPr>
            </w:pPr>
            <w:r>
              <w:rPr>
                <w:rFonts w:ascii="Bliss Pro ExtraLight" w:hAnsi="Bliss Pro ExtraLight" w:cstheme="minorHAnsi"/>
                <w:bCs/>
                <w:sz w:val="16"/>
                <w:szCs w:val="16"/>
              </w:rPr>
              <w:t>Verlenging</w:t>
            </w:r>
            <w:r w:rsidR="00AD5B26">
              <w:rPr>
                <w:rFonts w:ascii="Bliss Pro ExtraLight" w:hAnsi="Bliss Pro ExtraLight" w:cstheme="minorHAnsi"/>
                <w:bCs/>
                <w:sz w:val="16"/>
                <w:szCs w:val="16"/>
              </w:rPr>
              <w:t xml:space="preserve"> met 1 jaar</w:t>
            </w:r>
            <w:r>
              <w:rPr>
                <w:rFonts w:ascii="Bliss Pro ExtraLight" w:hAnsi="Bliss Pro ExtraLight" w:cstheme="minorHAnsi"/>
                <w:bCs/>
                <w:sz w:val="16"/>
                <w:szCs w:val="16"/>
              </w:rPr>
              <w:t>, tot</w:t>
            </w:r>
            <w:r w:rsidR="00AD5B26">
              <w:rPr>
                <w:rFonts w:ascii="Bliss Pro ExtraLight" w:hAnsi="Bliss Pro ExtraLight" w:cstheme="minorHAnsi"/>
                <w:bCs/>
                <w:sz w:val="16"/>
                <w:szCs w:val="16"/>
              </w:rPr>
              <w:t xml:space="preserve"> een totaal van</w:t>
            </w:r>
            <w:r>
              <w:rPr>
                <w:rFonts w:ascii="Bliss Pro ExtraLight" w:hAnsi="Bliss Pro ExtraLight" w:cstheme="minorHAnsi"/>
                <w:bCs/>
                <w:sz w:val="16"/>
                <w:szCs w:val="16"/>
              </w:rPr>
              <w:t xml:space="preserve"> </w:t>
            </w:r>
            <w:r w:rsidR="00713E79">
              <w:rPr>
                <w:rFonts w:ascii="Bliss Pro ExtraLight" w:hAnsi="Bliss Pro ExtraLight" w:cstheme="minorHAnsi"/>
                <w:bCs/>
                <w:sz w:val="16"/>
                <w:szCs w:val="16"/>
              </w:rPr>
              <w:t xml:space="preserve">2 jaar </w:t>
            </w:r>
          </w:p>
        </w:tc>
      </w:tr>
    </w:tbl>
    <w:p w14:paraId="5921B3EB" w14:textId="77777777" w:rsidR="00160252" w:rsidRDefault="00160252" w:rsidP="00FF533A">
      <w:pPr>
        <w:tabs>
          <w:tab w:val="left" w:pos="142"/>
        </w:tabs>
        <w:spacing w:after="0" w:line="240" w:lineRule="auto"/>
        <w:jc w:val="both"/>
        <w:rPr>
          <w:rFonts w:ascii="Bliss Pro ExtraLight" w:hAnsi="Bliss Pro ExtraLight" w:cstheme="minorHAnsi"/>
          <w:bCs/>
          <w:sz w:val="16"/>
          <w:szCs w:val="16"/>
        </w:rPr>
      </w:pPr>
    </w:p>
    <w:p w14:paraId="132F696B" w14:textId="35F37D7B" w:rsidR="004B125A" w:rsidRPr="004B125A" w:rsidRDefault="00713E79" w:rsidP="00FF533A">
      <w:pPr>
        <w:tabs>
          <w:tab w:val="left" w:pos="142"/>
        </w:tabs>
        <w:spacing w:after="0" w:line="240" w:lineRule="auto"/>
        <w:jc w:val="both"/>
        <w:rPr>
          <w:rFonts w:ascii="Bliss Pro ExtraLight" w:hAnsi="Bliss Pro ExtraLight" w:cstheme="minorHAnsi"/>
          <w:bCs/>
          <w:sz w:val="16"/>
          <w:szCs w:val="16"/>
        </w:rPr>
      </w:pPr>
      <w:r>
        <w:rPr>
          <w:rFonts w:ascii="Bliss Pro ExtraLight" w:hAnsi="Bliss Pro ExtraLight" w:cstheme="minorHAnsi"/>
          <w:bCs/>
          <w:sz w:val="16"/>
          <w:szCs w:val="16"/>
        </w:rPr>
        <w:t xml:space="preserve">De verlenging van de garantie voor conforme levering zal niet van toepassing zijn </w:t>
      </w:r>
      <w:r w:rsidR="00967422">
        <w:rPr>
          <w:rFonts w:ascii="Bliss Pro ExtraLight" w:hAnsi="Bliss Pro ExtraLight" w:cstheme="minorHAnsi"/>
          <w:bCs/>
          <w:sz w:val="16"/>
          <w:szCs w:val="16"/>
        </w:rPr>
        <w:t>op</w:t>
      </w:r>
      <w:r>
        <w:rPr>
          <w:rFonts w:ascii="Bliss Pro ExtraLight" w:hAnsi="Bliss Pro ExtraLight" w:cstheme="minorHAnsi"/>
          <w:bCs/>
          <w:sz w:val="16"/>
          <w:szCs w:val="16"/>
        </w:rPr>
        <w:t xml:space="preserve"> tweedehands Ford voertuigen met </w:t>
      </w:r>
      <w:r w:rsidR="005E4DD3">
        <w:rPr>
          <w:rFonts w:ascii="Bliss Pro ExtraLight" w:hAnsi="Bliss Pro ExtraLight" w:cstheme="minorHAnsi"/>
          <w:bCs/>
          <w:sz w:val="16"/>
          <w:szCs w:val="16"/>
        </w:rPr>
        <w:t>meer dan 150.000km op de teller</w:t>
      </w:r>
      <w:r w:rsidR="00AD5B26">
        <w:rPr>
          <w:rFonts w:ascii="Bliss Pro ExtraLight" w:hAnsi="Bliss Pro ExtraLight" w:cstheme="minorHAnsi"/>
          <w:bCs/>
          <w:sz w:val="16"/>
          <w:szCs w:val="16"/>
        </w:rPr>
        <w:t xml:space="preserve"> op het moment van uw aankoop</w:t>
      </w:r>
      <w:r w:rsidR="005E4DD3">
        <w:rPr>
          <w:rFonts w:ascii="Bliss Pro ExtraLight" w:hAnsi="Bliss Pro ExtraLight" w:cstheme="minorHAnsi"/>
          <w:bCs/>
          <w:sz w:val="16"/>
          <w:szCs w:val="16"/>
        </w:rPr>
        <w:t xml:space="preserve">. Een toegekende verlenging van de garantie </w:t>
      </w:r>
      <w:r w:rsidR="00AD5B26">
        <w:rPr>
          <w:rFonts w:ascii="Bliss Pro ExtraLight" w:hAnsi="Bliss Pro ExtraLight" w:cstheme="minorHAnsi"/>
          <w:bCs/>
          <w:sz w:val="16"/>
          <w:szCs w:val="16"/>
        </w:rPr>
        <w:t xml:space="preserve">op een voertuig dat bij uw aankoop minder dan 150.000km op de teller had, </w:t>
      </w:r>
      <w:r w:rsidR="005E4DD3">
        <w:rPr>
          <w:rFonts w:ascii="Bliss Pro ExtraLight" w:hAnsi="Bliss Pro ExtraLight" w:cstheme="minorHAnsi"/>
          <w:bCs/>
          <w:sz w:val="16"/>
          <w:szCs w:val="16"/>
        </w:rPr>
        <w:t xml:space="preserve">zal bovendien automatisch </w:t>
      </w:r>
      <w:r w:rsidR="00967422">
        <w:rPr>
          <w:rFonts w:ascii="Bliss Pro ExtraLight" w:hAnsi="Bliss Pro ExtraLight" w:cstheme="minorHAnsi"/>
          <w:bCs/>
          <w:sz w:val="16"/>
          <w:szCs w:val="16"/>
        </w:rPr>
        <w:t xml:space="preserve">vervallen, voor afloop van de verlengde garantietermijn, </w:t>
      </w:r>
      <w:r w:rsidR="005E4DD3">
        <w:rPr>
          <w:rFonts w:ascii="Bliss Pro ExtraLight" w:hAnsi="Bliss Pro ExtraLight" w:cstheme="minorHAnsi"/>
          <w:bCs/>
          <w:sz w:val="16"/>
          <w:szCs w:val="16"/>
        </w:rPr>
        <w:t>van zodra het tweedehands Ford voertuig de kilometerstand van 150.000km bereikt</w:t>
      </w:r>
      <w:r w:rsidR="00967422">
        <w:rPr>
          <w:rFonts w:ascii="Bliss Pro ExtraLight" w:hAnsi="Bliss Pro ExtraLight" w:cstheme="minorHAnsi"/>
          <w:bCs/>
          <w:sz w:val="16"/>
          <w:szCs w:val="16"/>
        </w:rPr>
        <w:t xml:space="preserve">. </w:t>
      </w:r>
    </w:p>
    <w:p w14:paraId="49CC936D" w14:textId="77777777" w:rsidR="00FF533A" w:rsidRPr="00FF533A" w:rsidRDefault="00FF533A" w:rsidP="00FF533A">
      <w:pPr>
        <w:tabs>
          <w:tab w:val="left" w:pos="142"/>
        </w:tabs>
        <w:spacing w:after="0" w:line="240" w:lineRule="auto"/>
        <w:jc w:val="both"/>
        <w:rPr>
          <w:rFonts w:ascii="Bliss Pro ExtraLight" w:hAnsi="Bliss Pro ExtraLight" w:cstheme="minorHAnsi"/>
          <w:bCs/>
          <w:sz w:val="16"/>
          <w:szCs w:val="16"/>
        </w:rPr>
      </w:pPr>
    </w:p>
    <w:p w14:paraId="2A5AD3A6" w14:textId="27ED6CEC" w:rsidR="004B125A" w:rsidRDefault="004B125A" w:rsidP="00FF533A">
      <w:pPr>
        <w:pStyle w:val="Lijstalinea"/>
        <w:numPr>
          <w:ilvl w:val="0"/>
          <w:numId w:val="1"/>
        </w:numPr>
        <w:tabs>
          <w:tab w:val="left" w:pos="142"/>
        </w:tabs>
        <w:ind w:left="0" w:firstLine="0"/>
        <w:rPr>
          <w:rFonts w:ascii="Bliss Pro" w:hAnsi="Bliss Pro" w:cstheme="minorHAnsi"/>
          <w:b/>
          <w:bCs/>
          <w:w w:val="90"/>
          <w:sz w:val="18"/>
          <w:szCs w:val="18"/>
          <w:lang w:val="nl-BE"/>
        </w:rPr>
      </w:pPr>
      <w:r w:rsidRPr="00FF533A">
        <w:rPr>
          <w:rFonts w:ascii="Bliss Pro" w:hAnsi="Bliss Pro" w:cstheme="minorHAnsi"/>
          <w:b/>
          <w:bCs/>
          <w:w w:val="90"/>
          <w:sz w:val="18"/>
          <w:szCs w:val="18"/>
          <w:lang w:val="nl-BE"/>
        </w:rPr>
        <w:t>Bevoegde rechtbank en toepasselijk recht</w:t>
      </w:r>
    </w:p>
    <w:p w14:paraId="5A7872D3" w14:textId="77777777" w:rsidR="00FF533A" w:rsidRPr="00FF533A" w:rsidRDefault="00FF533A" w:rsidP="00FF533A">
      <w:pPr>
        <w:pStyle w:val="Lijstalinea"/>
        <w:tabs>
          <w:tab w:val="left" w:pos="142"/>
        </w:tabs>
        <w:ind w:left="0" w:firstLine="0"/>
        <w:rPr>
          <w:rFonts w:ascii="Bliss Pro" w:hAnsi="Bliss Pro" w:cstheme="minorHAnsi"/>
          <w:b/>
          <w:bCs/>
          <w:w w:val="90"/>
          <w:sz w:val="18"/>
          <w:szCs w:val="18"/>
          <w:lang w:val="nl-BE"/>
        </w:rPr>
      </w:pPr>
    </w:p>
    <w:p w14:paraId="7976542E" w14:textId="575F443B" w:rsidR="004B125A" w:rsidRDefault="004B125A" w:rsidP="00FF533A">
      <w:pPr>
        <w:pStyle w:val="Plattetekst"/>
        <w:tabs>
          <w:tab w:val="left" w:pos="142"/>
        </w:tabs>
        <w:ind w:right="79"/>
        <w:jc w:val="both"/>
        <w:rPr>
          <w:rFonts w:ascii="Bliss Pro ExtraLight" w:eastAsiaTheme="minorHAnsi" w:hAnsi="Bliss Pro ExtraLight" w:cstheme="minorHAnsi"/>
          <w:sz w:val="16"/>
          <w:szCs w:val="16"/>
          <w:lang w:val="nl-BE"/>
        </w:rPr>
      </w:pPr>
      <w:r w:rsidRPr="004B125A">
        <w:rPr>
          <w:rFonts w:ascii="Bliss Pro ExtraLight" w:eastAsiaTheme="minorHAnsi" w:hAnsi="Bliss Pro ExtraLight" w:cstheme="minorHAnsi"/>
          <w:sz w:val="16"/>
          <w:szCs w:val="16"/>
          <w:lang w:val="nl-BE"/>
        </w:rPr>
        <w:t xml:space="preserve">In geval van een geschil is de volgende rechtbank, naar keuze van de eiser, bevoegd om kennis te nemen van de vordering: 1) de rechter van de woonplaats van de verweerder of van één van de verweerders, 2) de rechter van de plaats waar de verbintenissen, waarover het geschil loopt, of één ervan, zijn ontstaan of waar zij worden, zijn of moeten worden uitgevoerd, 3) de rechter van de woonplaats van de koper Indien echter de klant geen consument is in de zin van artikel I.1.2° Wetboek Economisch Recht of artikel 1649bis §2, 1° Oud Burgerlijk Wetboek vallen alle betwistingen onder de exclusieve bevoegdheid van de rechtbanken van de plaats waar onze maatschappelijke zetel gelegen is. Het Belgisch recht is van toepassing. </w:t>
      </w:r>
    </w:p>
    <w:p w14:paraId="7CC981E4" w14:textId="77777777" w:rsidR="00FF533A" w:rsidRPr="004B125A" w:rsidRDefault="00FF533A" w:rsidP="00FF533A">
      <w:pPr>
        <w:pStyle w:val="Plattetekst"/>
        <w:tabs>
          <w:tab w:val="left" w:pos="142"/>
        </w:tabs>
        <w:ind w:right="79"/>
        <w:jc w:val="both"/>
        <w:rPr>
          <w:rFonts w:ascii="Bliss Pro ExtraLight" w:eastAsiaTheme="minorHAnsi" w:hAnsi="Bliss Pro ExtraLight" w:cstheme="minorHAnsi"/>
          <w:sz w:val="16"/>
          <w:szCs w:val="16"/>
          <w:lang w:val="nl-BE"/>
        </w:rPr>
      </w:pPr>
    </w:p>
    <w:p w14:paraId="4B88507C" w14:textId="77777777" w:rsidR="004B125A" w:rsidRPr="004B125A" w:rsidRDefault="004B125A" w:rsidP="00FF533A">
      <w:pPr>
        <w:pStyle w:val="Plattetekst"/>
        <w:tabs>
          <w:tab w:val="left" w:pos="142"/>
        </w:tabs>
        <w:spacing w:before="1" w:line="180" w:lineRule="auto"/>
        <w:ind w:right="79"/>
        <w:jc w:val="both"/>
        <w:rPr>
          <w:rFonts w:ascii="Bliss Pro" w:eastAsiaTheme="minorHAnsi" w:hAnsi="Bliss Pro" w:cstheme="minorHAnsi"/>
          <w:sz w:val="16"/>
          <w:szCs w:val="16"/>
          <w:lang w:val="nl-BE"/>
        </w:rPr>
      </w:pPr>
    </w:p>
    <w:p w14:paraId="478494EA" w14:textId="614CD2E0" w:rsidR="004B125A" w:rsidRPr="004B125A" w:rsidRDefault="004B125A" w:rsidP="00FF533A">
      <w:pPr>
        <w:jc w:val="both"/>
        <w:rPr>
          <w:rStyle w:val="A1"/>
          <w:rFonts w:ascii="Bliss Pro" w:hAnsi="Bliss Pro"/>
          <w:b/>
          <w:bCs/>
          <w:sz w:val="16"/>
          <w:szCs w:val="16"/>
          <w:u w:val="single"/>
        </w:rPr>
      </w:pPr>
      <w:r w:rsidRPr="004B125A">
        <w:rPr>
          <w:rStyle w:val="A1"/>
          <w:rFonts w:ascii="Bliss Pro" w:hAnsi="Bliss Pro"/>
          <w:b/>
          <w:bCs/>
          <w:sz w:val="16"/>
          <w:szCs w:val="16"/>
          <w:u w:val="single"/>
        </w:rPr>
        <w:t>* VAN MOSSEL VMF BELGIË</w:t>
      </w:r>
      <w:r w:rsidR="00026E37">
        <w:rPr>
          <w:rStyle w:val="A1"/>
          <w:rFonts w:ascii="Bliss Pro" w:hAnsi="Bliss Pro"/>
          <w:b/>
          <w:bCs/>
          <w:sz w:val="16"/>
          <w:szCs w:val="16"/>
          <w:u w:val="single"/>
        </w:rPr>
        <w:t xml:space="preserve">, met maatschappelijke zetel gelegen te 2100 Antwerpen, Bisschoppenhoflaan 515 en met ondernemingsnummer 0432.452.724, </w:t>
      </w:r>
      <w:r w:rsidRPr="004B125A">
        <w:rPr>
          <w:rStyle w:val="A1"/>
          <w:rFonts w:ascii="Bliss Pro" w:hAnsi="Bliss Pro"/>
          <w:b/>
          <w:bCs/>
          <w:sz w:val="16"/>
          <w:szCs w:val="16"/>
          <w:u w:val="single"/>
        </w:rPr>
        <w:t xml:space="preserve">is een vennootschap binnen de Van Mossel Automotive Groep, een groep van ondernemingen bestaande uit schadebedrijven, dealerbedrijven en leasemaatschappijen, gegroepeerd onder Van Mossel Automotive Group </w:t>
      </w:r>
      <w:proofErr w:type="spellStart"/>
      <w:r w:rsidRPr="004B125A">
        <w:rPr>
          <w:rStyle w:val="A1"/>
          <w:rFonts w:ascii="Bliss Pro" w:hAnsi="Bliss Pro"/>
          <w:b/>
          <w:bCs/>
          <w:sz w:val="16"/>
          <w:szCs w:val="16"/>
          <w:u w:val="single"/>
        </w:rPr>
        <w:t>Belux</w:t>
      </w:r>
      <w:proofErr w:type="spellEnd"/>
      <w:r w:rsidRPr="004B125A">
        <w:rPr>
          <w:rStyle w:val="A1"/>
          <w:rFonts w:ascii="Bliss Pro" w:hAnsi="Bliss Pro"/>
          <w:b/>
          <w:bCs/>
          <w:sz w:val="16"/>
          <w:szCs w:val="16"/>
          <w:u w:val="single"/>
        </w:rPr>
        <w:t xml:space="preserve"> NV, met maatschappelijke zetel gelegen te 2140 Antwerpen, Noordersingel 19 en met ondernemingsnummer 0695.863.053. </w:t>
      </w:r>
    </w:p>
    <w:bookmarkEnd w:id="0"/>
    <w:p w14:paraId="24D4107D" w14:textId="77777777" w:rsidR="00616DD2" w:rsidRDefault="00616DD2" w:rsidP="00FF533A">
      <w:pPr>
        <w:jc w:val="both"/>
      </w:pPr>
    </w:p>
    <w:sectPr w:rsidR="00616DD2" w:rsidSect="00A86BE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0621D" w14:textId="77777777" w:rsidR="00A86BE3" w:rsidRDefault="00A86BE3">
      <w:pPr>
        <w:spacing w:after="0" w:line="240" w:lineRule="auto"/>
      </w:pPr>
      <w:r>
        <w:separator/>
      </w:r>
    </w:p>
  </w:endnote>
  <w:endnote w:type="continuationSeparator" w:id="0">
    <w:p w14:paraId="3F774A57" w14:textId="77777777" w:rsidR="00A86BE3" w:rsidRDefault="00A86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liss Pro ExtraLight">
    <w:altName w:val="Calibri"/>
    <w:panose1 w:val="02000506040000020004"/>
    <w:charset w:val="00"/>
    <w:family w:val="modern"/>
    <w:notTrueType/>
    <w:pitch w:val="variable"/>
    <w:sig w:usb0="A00002EF" w:usb1="4000205B"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Pro ExtraBold">
    <w:altName w:val="Calibri"/>
    <w:panose1 w:val="02000903050000020004"/>
    <w:charset w:val="00"/>
    <w:family w:val="modern"/>
    <w:notTrueType/>
    <w:pitch w:val="variable"/>
    <w:sig w:usb0="A00002EF" w:usb1="4000205B" w:usb2="00000000" w:usb3="00000000" w:csb0="0000009F" w:csb1="00000000"/>
  </w:font>
  <w:font w:name="Bliss Pro">
    <w:altName w:val="Calibri"/>
    <w:panose1 w:val="02000506050000020004"/>
    <w:charset w:val="00"/>
    <w:family w:val="modern"/>
    <w:notTrueType/>
    <w:pitch w:val="variable"/>
    <w:sig w:usb0="A00002EF" w:usb1="4000205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45FF6" w14:textId="77777777" w:rsidR="00000000" w:rsidRDefault="004B125A">
    <w:pPr>
      <w:pStyle w:val="Voettekst"/>
    </w:pPr>
    <w:r>
      <w:rPr>
        <w:noProof/>
      </w:rPr>
      <w:drawing>
        <wp:anchor distT="0" distB="0" distL="114300" distR="114300" simplePos="0" relativeHeight="251659264" behindDoc="0" locked="0" layoutInCell="1" allowOverlap="1" wp14:anchorId="05249183" wp14:editId="66EEF7A6">
          <wp:simplePos x="0" y="0"/>
          <wp:positionH relativeFrom="page">
            <wp:posOffset>-12065</wp:posOffset>
          </wp:positionH>
          <wp:positionV relativeFrom="paragraph">
            <wp:posOffset>0</wp:posOffset>
          </wp:positionV>
          <wp:extent cx="7558160" cy="657341"/>
          <wp:effectExtent l="0" t="0" r="5080" b="9525"/>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tomotive Groep vervolgpapier va juni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160" cy="65734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843BD" w14:textId="77777777" w:rsidR="00A86BE3" w:rsidRDefault="00A86BE3">
      <w:pPr>
        <w:spacing w:after="0" w:line="240" w:lineRule="auto"/>
      </w:pPr>
      <w:r>
        <w:separator/>
      </w:r>
    </w:p>
  </w:footnote>
  <w:footnote w:type="continuationSeparator" w:id="0">
    <w:p w14:paraId="13EF3298" w14:textId="77777777" w:rsidR="00A86BE3" w:rsidRDefault="00A86B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A172F"/>
    <w:multiLevelType w:val="hybridMultilevel"/>
    <w:tmpl w:val="879C01A8"/>
    <w:lvl w:ilvl="0" w:tplc="CD666C34">
      <w:start w:val="2"/>
      <w:numFmt w:val="bullet"/>
      <w:lvlText w:val="-"/>
      <w:lvlJc w:val="left"/>
      <w:pPr>
        <w:ind w:left="720" w:hanging="360"/>
      </w:pPr>
      <w:rPr>
        <w:rFonts w:ascii="Bliss Pro ExtraLight" w:eastAsiaTheme="minorHAnsi" w:hAnsi="Bliss Pro ExtraLight"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4992CE5"/>
    <w:multiLevelType w:val="multilevel"/>
    <w:tmpl w:val="13D8BE80"/>
    <w:lvl w:ilvl="0">
      <w:start w:val="1"/>
      <w:numFmt w:val="decimal"/>
      <w:lvlText w:val="%1."/>
      <w:lvlJc w:val="left"/>
      <w:pPr>
        <w:ind w:left="3738" w:hanging="193"/>
      </w:pPr>
      <w:rPr>
        <w:rFonts w:hint="default"/>
        <w:b/>
        <w:bCs/>
        <w:spacing w:val="0"/>
        <w:w w:val="82"/>
      </w:rPr>
    </w:lvl>
    <w:lvl w:ilvl="1">
      <w:start w:val="1"/>
      <w:numFmt w:val="decimal"/>
      <w:lvlText w:val="%1.%2."/>
      <w:lvlJc w:val="left"/>
      <w:pPr>
        <w:ind w:left="113" w:hanging="323"/>
      </w:pPr>
      <w:rPr>
        <w:rFonts w:hint="default"/>
        <w:w w:val="86"/>
      </w:rPr>
    </w:lvl>
    <w:lvl w:ilvl="2">
      <w:numFmt w:val="bullet"/>
      <w:lvlText w:val="•"/>
      <w:lvlJc w:val="left"/>
      <w:pPr>
        <w:ind w:left="866" w:hanging="323"/>
      </w:pPr>
      <w:rPr>
        <w:rFonts w:hint="default"/>
      </w:rPr>
    </w:lvl>
    <w:lvl w:ilvl="3">
      <w:numFmt w:val="bullet"/>
      <w:lvlText w:val="•"/>
      <w:lvlJc w:val="left"/>
      <w:pPr>
        <w:ind w:left="1432" w:hanging="323"/>
      </w:pPr>
      <w:rPr>
        <w:rFonts w:hint="default"/>
      </w:rPr>
    </w:lvl>
    <w:lvl w:ilvl="4">
      <w:numFmt w:val="bullet"/>
      <w:lvlText w:val="•"/>
      <w:lvlJc w:val="left"/>
      <w:pPr>
        <w:ind w:left="1998" w:hanging="323"/>
      </w:pPr>
      <w:rPr>
        <w:rFonts w:hint="default"/>
      </w:rPr>
    </w:lvl>
    <w:lvl w:ilvl="5">
      <w:numFmt w:val="bullet"/>
      <w:lvlText w:val="•"/>
      <w:lvlJc w:val="left"/>
      <w:pPr>
        <w:ind w:left="2564" w:hanging="323"/>
      </w:pPr>
      <w:rPr>
        <w:rFonts w:hint="default"/>
      </w:rPr>
    </w:lvl>
    <w:lvl w:ilvl="6">
      <w:numFmt w:val="bullet"/>
      <w:lvlText w:val="•"/>
      <w:lvlJc w:val="left"/>
      <w:pPr>
        <w:ind w:left="3130" w:hanging="323"/>
      </w:pPr>
      <w:rPr>
        <w:rFonts w:hint="default"/>
      </w:rPr>
    </w:lvl>
    <w:lvl w:ilvl="7">
      <w:numFmt w:val="bullet"/>
      <w:lvlText w:val="•"/>
      <w:lvlJc w:val="left"/>
      <w:pPr>
        <w:ind w:left="3696" w:hanging="323"/>
      </w:pPr>
      <w:rPr>
        <w:rFonts w:hint="default"/>
      </w:rPr>
    </w:lvl>
    <w:lvl w:ilvl="8">
      <w:numFmt w:val="bullet"/>
      <w:lvlText w:val="•"/>
      <w:lvlJc w:val="left"/>
      <w:pPr>
        <w:ind w:left="4262" w:hanging="323"/>
      </w:pPr>
      <w:rPr>
        <w:rFonts w:hint="default"/>
      </w:rPr>
    </w:lvl>
  </w:abstractNum>
  <w:abstractNum w:abstractNumId="2" w15:restartNumberingAfterBreak="0">
    <w:nsid w:val="4BB810FB"/>
    <w:multiLevelType w:val="hybridMultilevel"/>
    <w:tmpl w:val="8E4A3B86"/>
    <w:lvl w:ilvl="0" w:tplc="DDD4C260">
      <w:numFmt w:val="bullet"/>
      <w:lvlText w:val="-"/>
      <w:lvlJc w:val="left"/>
      <w:pPr>
        <w:ind w:left="720" w:hanging="360"/>
      </w:pPr>
      <w:rPr>
        <w:rFonts w:ascii="Bliss Pro ExtraLight" w:eastAsiaTheme="minorHAnsi" w:hAnsi="Bliss Pro ExtraLight"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023627639">
    <w:abstractNumId w:val="1"/>
  </w:num>
  <w:num w:numId="2" w16cid:durableId="2004627181">
    <w:abstractNumId w:val="2"/>
  </w:num>
  <w:num w:numId="3" w16cid:durableId="329872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25A"/>
    <w:rsid w:val="00026E37"/>
    <w:rsid w:val="00160252"/>
    <w:rsid w:val="00185406"/>
    <w:rsid w:val="00451196"/>
    <w:rsid w:val="004B125A"/>
    <w:rsid w:val="005E4DD3"/>
    <w:rsid w:val="00616DD2"/>
    <w:rsid w:val="00713E79"/>
    <w:rsid w:val="007724D3"/>
    <w:rsid w:val="008519D2"/>
    <w:rsid w:val="00967422"/>
    <w:rsid w:val="00A37BB9"/>
    <w:rsid w:val="00A86BE3"/>
    <w:rsid w:val="00AD5B26"/>
    <w:rsid w:val="00BE50EF"/>
    <w:rsid w:val="00D60D08"/>
    <w:rsid w:val="00EE10CB"/>
    <w:rsid w:val="00F04D13"/>
    <w:rsid w:val="00FF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B872"/>
  <w15:chartTrackingRefBased/>
  <w15:docId w15:val="{01B76B74-A26C-4FBC-A999-E30BEDEC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125A"/>
  </w:style>
  <w:style w:type="paragraph" w:styleId="Kop3">
    <w:name w:val="heading 3"/>
    <w:basedOn w:val="Standaard"/>
    <w:link w:val="Kop3Char"/>
    <w:uiPriority w:val="9"/>
    <w:unhideWhenUsed/>
    <w:qFormat/>
    <w:rsid w:val="004B125A"/>
    <w:pPr>
      <w:widowControl w:val="0"/>
      <w:autoSpaceDE w:val="0"/>
      <w:autoSpaceDN w:val="0"/>
      <w:spacing w:after="0" w:line="204" w:lineRule="exact"/>
      <w:ind w:left="305" w:hanging="191"/>
      <w:jc w:val="both"/>
      <w:outlineLvl w:val="2"/>
    </w:pPr>
    <w:rPr>
      <w:rFonts w:ascii="Arial" w:eastAsia="Arial" w:hAnsi="Arial" w:cs="Arial"/>
      <w:b/>
      <w:bCs/>
      <w:sz w:val="18"/>
      <w:szCs w:val="1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4B125A"/>
    <w:rPr>
      <w:rFonts w:ascii="Arial" w:eastAsia="Arial" w:hAnsi="Arial" w:cs="Arial"/>
      <w:b/>
      <w:bCs/>
      <w:sz w:val="18"/>
      <w:szCs w:val="18"/>
      <w:lang w:val="en-US"/>
    </w:rPr>
  </w:style>
  <w:style w:type="paragraph" w:styleId="Plattetekst">
    <w:name w:val="Body Text"/>
    <w:basedOn w:val="Standaard"/>
    <w:link w:val="PlattetekstChar"/>
    <w:uiPriority w:val="1"/>
    <w:qFormat/>
    <w:rsid w:val="004B125A"/>
    <w:pPr>
      <w:widowControl w:val="0"/>
      <w:autoSpaceDE w:val="0"/>
      <w:autoSpaceDN w:val="0"/>
      <w:spacing w:after="0" w:line="240" w:lineRule="auto"/>
    </w:pPr>
    <w:rPr>
      <w:rFonts w:ascii="Arial" w:eastAsia="Arial" w:hAnsi="Arial" w:cs="Arial"/>
      <w:sz w:val="18"/>
      <w:szCs w:val="18"/>
      <w:lang w:val="en-US"/>
    </w:rPr>
  </w:style>
  <w:style w:type="character" w:customStyle="1" w:styleId="PlattetekstChar">
    <w:name w:val="Platte tekst Char"/>
    <w:basedOn w:val="Standaardalinea-lettertype"/>
    <w:link w:val="Plattetekst"/>
    <w:uiPriority w:val="1"/>
    <w:rsid w:val="004B125A"/>
    <w:rPr>
      <w:rFonts w:ascii="Arial" w:eastAsia="Arial" w:hAnsi="Arial" w:cs="Arial"/>
      <w:sz w:val="18"/>
      <w:szCs w:val="18"/>
      <w:lang w:val="en-US"/>
    </w:rPr>
  </w:style>
  <w:style w:type="paragraph" w:styleId="Lijstalinea">
    <w:name w:val="List Paragraph"/>
    <w:basedOn w:val="Standaard"/>
    <w:uiPriority w:val="1"/>
    <w:qFormat/>
    <w:rsid w:val="004B125A"/>
    <w:pPr>
      <w:widowControl w:val="0"/>
      <w:autoSpaceDE w:val="0"/>
      <w:autoSpaceDN w:val="0"/>
      <w:spacing w:after="0" w:line="240" w:lineRule="auto"/>
      <w:ind w:left="958" w:hanging="385"/>
      <w:jc w:val="both"/>
    </w:pPr>
    <w:rPr>
      <w:rFonts w:ascii="Arial" w:eastAsia="Arial" w:hAnsi="Arial" w:cs="Arial"/>
      <w:lang w:val="en-US"/>
    </w:rPr>
  </w:style>
  <w:style w:type="character" w:customStyle="1" w:styleId="A1">
    <w:name w:val="A1"/>
    <w:uiPriority w:val="99"/>
    <w:rsid w:val="004B125A"/>
    <w:rPr>
      <w:color w:val="000000"/>
      <w:sz w:val="19"/>
      <w:szCs w:val="19"/>
    </w:rPr>
  </w:style>
  <w:style w:type="paragraph" w:styleId="Voettekst">
    <w:name w:val="footer"/>
    <w:basedOn w:val="Standaard"/>
    <w:link w:val="VoettekstChar"/>
    <w:uiPriority w:val="99"/>
    <w:unhideWhenUsed/>
    <w:rsid w:val="004B125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125A"/>
  </w:style>
  <w:style w:type="character" w:styleId="Hyperlink">
    <w:name w:val="Hyperlink"/>
    <w:basedOn w:val="Standaardalinea-lettertype"/>
    <w:uiPriority w:val="99"/>
    <w:unhideWhenUsed/>
    <w:rsid w:val="004B125A"/>
    <w:rPr>
      <w:color w:val="0563C1" w:themeColor="hyperlink"/>
      <w:u w:val="single"/>
    </w:rPr>
  </w:style>
  <w:style w:type="table" w:styleId="Tabelraster">
    <w:name w:val="Table Grid"/>
    <w:basedOn w:val="Standaardtabel"/>
    <w:uiPriority w:val="39"/>
    <w:rsid w:val="0071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518</Words>
  <Characters>2850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Van den Bosch</dc:creator>
  <cp:keywords/>
  <dc:description/>
  <cp:lastModifiedBy>Thomas Van den Bosch</cp:lastModifiedBy>
  <cp:revision>2</cp:revision>
  <cp:lastPrinted>2023-03-23T09:51:00Z</cp:lastPrinted>
  <dcterms:created xsi:type="dcterms:W3CDTF">2024-02-28T14:26:00Z</dcterms:created>
  <dcterms:modified xsi:type="dcterms:W3CDTF">2024-02-28T14:26:00Z</dcterms:modified>
</cp:coreProperties>
</file>